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E051F" w:rsidRDefault="0008376D">
      <w:pPr>
        <w:pBdr>
          <w:top w:val="nil"/>
          <w:left w:val="nil"/>
          <w:bottom w:val="nil"/>
          <w:right w:val="nil"/>
          <w:between w:val="nil"/>
        </w:pBdr>
        <w:jc w:val="right"/>
        <w:rPr>
          <w:color w:val="222222"/>
        </w:rPr>
      </w:pPr>
      <w:r>
        <w:rPr>
          <w:noProof/>
          <w:color w:val="222222"/>
        </w:rPr>
        <w:drawing>
          <wp:inline distT="114300" distB="114300" distL="114300" distR="114300">
            <wp:extent cx="1937004" cy="1171575"/>
            <wp:effectExtent l="0" t="0" r="0" b="0"/>
            <wp:docPr id="3" name="image8.png" descr="ALT-logo-2014-full-green-248x150.png"/>
            <wp:cNvGraphicFramePr/>
            <a:graphic xmlns:a="http://schemas.openxmlformats.org/drawingml/2006/main">
              <a:graphicData uri="http://schemas.openxmlformats.org/drawingml/2006/picture">
                <pic:pic xmlns:pic="http://schemas.openxmlformats.org/drawingml/2006/picture">
                  <pic:nvPicPr>
                    <pic:cNvPr id="0" name="image8.png" descr="ALT-logo-2014-full-green-248x150.png"/>
                    <pic:cNvPicPr preferRelativeResize="0"/>
                  </pic:nvPicPr>
                  <pic:blipFill>
                    <a:blip r:embed="rId7"/>
                    <a:srcRect/>
                    <a:stretch>
                      <a:fillRect/>
                    </a:stretch>
                  </pic:blipFill>
                  <pic:spPr>
                    <a:xfrm>
                      <a:off x="0" y="0"/>
                      <a:ext cx="1937004" cy="1171575"/>
                    </a:xfrm>
                    <a:prstGeom prst="rect">
                      <a:avLst/>
                    </a:prstGeom>
                    <a:ln/>
                  </pic:spPr>
                </pic:pic>
              </a:graphicData>
            </a:graphic>
          </wp:inline>
        </w:drawing>
      </w:r>
    </w:p>
    <w:p w:rsidR="004E051F" w:rsidRDefault="004E051F">
      <w:pPr>
        <w:pBdr>
          <w:top w:val="nil"/>
          <w:left w:val="nil"/>
          <w:bottom w:val="nil"/>
          <w:right w:val="nil"/>
          <w:between w:val="nil"/>
        </w:pBdr>
        <w:jc w:val="right"/>
        <w:rPr>
          <w:color w:val="222222"/>
        </w:rPr>
      </w:pPr>
    </w:p>
    <w:p w:rsidR="004E051F" w:rsidRDefault="004E051F">
      <w:pPr>
        <w:pBdr>
          <w:top w:val="nil"/>
          <w:left w:val="nil"/>
          <w:bottom w:val="nil"/>
          <w:right w:val="nil"/>
          <w:between w:val="nil"/>
        </w:pBdr>
        <w:jc w:val="right"/>
        <w:rPr>
          <w:color w:val="222222"/>
        </w:rPr>
      </w:pPr>
    </w:p>
    <w:p w:rsidR="004E051F" w:rsidRDefault="004E051F">
      <w:pPr>
        <w:pBdr>
          <w:top w:val="nil"/>
          <w:left w:val="nil"/>
          <w:bottom w:val="nil"/>
          <w:right w:val="nil"/>
          <w:between w:val="nil"/>
        </w:pBdr>
        <w:jc w:val="right"/>
        <w:rPr>
          <w:color w:val="222222"/>
        </w:rPr>
      </w:pPr>
    </w:p>
    <w:tbl>
      <w:tblPr>
        <w:tblStyle w:val="a"/>
        <w:tblW w:w="10500" w:type="dxa"/>
        <w:tblInd w:w="-1183" w:type="dxa"/>
        <w:tblLayout w:type="fixed"/>
        <w:tblLook w:val="0600" w:firstRow="0" w:lastRow="0" w:firstColumn="0" w:lastColumn="0" w:noHBand="1" w:noVBand="1"/>
      </w:tblPr>
      <w:tblGrid>
        <w:gridCol w:w="10500"/>
      </w:tblGrid>
      <w:tr w:rsidR="004E051F">
        <w:tc>
          <w:tcPr>
            <w:tcW w:w="10500" w:type="dxa"/>
            <w:shd w:val="clear" w:color="auto" w:fill="07994F"/>
            <w:tcMar>
              <w:top w:w="226" w:type="dxa"/>
              <w:left w:w="226" w:type="dxa"/>
              <w:bottom w:w="226" w:type="dxa"/>
              <w:right w:w="226" w:type="dxa"/>
            </w:tcMar>
            <w:vAlign w:val="center"/>
          </w:tcPr>
          <w:p w:rsidR="004E051F" w:rsidRPr="00E6691B" w:rsidRDefault="0008376D">
            <w:pPr>
              <w:pBdr>
                <w:top w:val="nil"/>
                <w:left w:val="nil"/>
                <w:bottom w:val="nil"/>
                <w:right w:val="nil"/>
                <w:between w:val="nil"/>
              </w:pBdr>
              <w:jc w:val="right"/>
              <w:rPr>
                <w:color w:val="222222"/>
                <w:sz w:val="36"/>
                <w:szCs w:val="36"/>
                <w:highlight w:val="none"/>
              </w:rPr>
            </w:pPr>
            <w:r w:rsidRPr="00E6691B">
              <w:rPr>
                <w:color w:val="FFFFFF"/>
                <w:sz w:val="36"/>
                <w:szCs w:val="36"/>
                <w:highlight w:val="none"/>
              </w:rPr>
              <w:t>TRUSTEES’ AND SENIOR STAFF MEMBERS’ INTERESTS</w:t>
            </w:r>
          </w:p>
        </w:tc>
      </w:tr>
    </w:tbl>
    <w:p w:rsidR="004E051F" w:rsidRDefault="004E051F">
      <w:pPr>
        <w:pStyle w:val="Title"/>
        <w:rPr>
          <w:rFonts w:ascii="Arial" w:eastAsia="Arial" w:hAnsi="Arial" w:cs="Arial"/>
          <w:b/>
          <w:sz w:val="22"/>
          <w:szCs w:val="22"/>
        </w:rPr>
      </w:pPr>
    </w:p>
    <w:p w:rsidR="004E051F" w:rsidRDefault="004E051F">
      <w:pPr>
        <w:rPr>
          <w:rFonts w:ascii="Arial" w:eastAsia="Arial" w:hAnsi="Arial" w:cs="Arial"/>
          <w:sz w:val="22"/>
          <w:szCs w:val="22"/>
        </w:rPr>
      </w:pPr>
    </w:p>
    <w:p w:rsidR="004E051F" w:rsidRDefault="0008376D">
      <w:pPr>
        <w:numPr>
          <w:ilvl w:val="0"/>
          <w:numId w:val="1"/>
        </w:numPr>
        <w:rPr>
          <w:rFonts w:ascii="Arial" w:eastAsia="Arial" w:hAnsi="Arial" w:cs="Arial"/>
          <w:sz w:val="22"/>
          <w:szCs w:val="22"/>
        </w:rPr>
      </w:pPr>
      <w:r>
        <w:rPr>
          <w:sz w:val="22"/>
          <w:szCs w:val="22"/>
        </w:rPr>
        <w:t>ALT encourages trustees and senior staff (subject to the terms of senior staff contracts of employment) to have outside interests. The purpose of this document is not to restrict trustees and senior staff from having outside interests. Instead, its purpose is to:</w:t>
      </w:r>
    </w:p>
    <w:p w:rsidR="004E051F" w:rsidRDefault="0008376D">
      <w:pPr>
        <w:numPr>
          <w:ilvl w:val="0"/>
          <w:numId w:val="3"/>
        </w:numPr>
        <w:rPr>
          <w:sz w:val="22"/>
          <w:szCs w:val="22"/>
        </w:rPr>
      </w:pPr>
      <w:r>
        <w:rPr>
          <w:sz w:val="22"/>
          <w:szCs w:val="22"/>
        </w:rPr>
        <w:t>ensure that ALT’s decision making takes place with the financial and personal interests of ALT’s decision-makers clearly disclosed;</w:t>
      </w:r>
    </w:p>
    <w:p w:rsidR="004E051F" w:rsidRDefault="0008376D">
      <w:pPr>
        <w:numPr>
          <w:ilvl w:val="0"/>
          <w:numId w:val="3"/>
        </w:numPr>
        <w:rPr>
          <w:sz w:val="22"/>
          <w:szCs w:val="22"/>
        </w:rPr>
      </w:pPr>
      <w:r>
        <w:rPr>
          <w:sz w:val="22"/>
          <w:szCs w:val="22"/>
        </w:rPr>
        <w:t>protect trustees and senior staff from unfounded allegations of misconduct or bias.</w:t>
      </w:r>
    </w:p>
    <w:p w:rsidR="004E051F" w:rsidRDefault="004E051F">
      <w:pPr>
        <w:rPr>
          <w:rFonts w:ascii="Arial" w:eastAsia="Arial" w:hAnsi="Arial" w:cs="Arial"/>
          <w:sz w:val="22"/>
          <w:szCs w:val="22"/>
        </w:rPr>
      </w:pPr>
    </w:p>
    <w:p w:rsidR="004E051F" w:rsidRDefault="0008376D">
      <w:pPr>
        <w:numPr>
          <w:ilvl w:val="0"/>
          <w:numId w:val="1"/>
        </w:numPr>
        <w:rPr>
          <w:rFonts w:ascii="Arial" w:eastAsia="Arial" w:hAnsi="Arial" w:cs="Arial"/>
          <w:sz w:val="22"/>
          <w:szCs w:val="22"/>
        </w:rPr>
      </w:pPr>
      <w:r>
        <w:rPr>
          <w:sz w:val="22"/>
          <w:szCs w:val="22"/>
        </w:rPr>
        <w:t>A trustee or senior member of staff who has any financial interest in the supply of work or goods to or for the purposes of ALT, any contract or proposed contract concerning ALT, or any other matter relating to ALT, or who has any other interest of a description specified by the Central Executive Committee in any matter relating to ALT shall :</w:t>
      </w:r>
    </w:p>
    <w:p w:rsidR="004E051F" w:rsidRDefault="004E051F">
      <w:pPr>
        <w:rPr>
          <w:rFonts w:ascii="Arial" w:eastAsia="Arial" w:hAnsi="Arial" w:cs="Arial"/>
          <w:sz w:val="22"/>
          <w:szCs w:val="22"/>
        </w:rPr>
      </w:pPr>
    </w:p>
    <w:p w:rsidR="004E051F" w:rsidRDefault="0008376D">
      <w:pPr>
        <w:numPr>
          <w:ilvl w:val="0"/>
          <w:numId w:val="4"/>
        </w:numPr>
        <w:rPr>
          <w:rFonts w:ascii="Arial" w:eastAsia="Arial" w:hAnsi="Arial" w:cs="Arial"/>
          <w:sz w:val="22"/>
          <w:szCs w:val="22"/>
        </w:rPr>
      </w:pPr>
      <w:r>
        <w:rPr>
          <w:sz w:val="22"/>
          <w:szCs w:val="22"/>
        </w:rPr>
        <w:t>disclose to the Central Executive Committee the nature and extent of his interest; and</w:t>
      </w:r>
    </w:p>
    <w:p w:rsidR="004E051F" w:rsidRDefault="004E051F">
      <w:pPr>
        <w:rPr>
          <w:rFonts w:ascii="Arial" w:eastAsia="Arial" w:hAnsi="Arial" w:cs="Arial"/>
          <w:sz w:val="22"/>
          <w:szCs w:val="22"/>
        </w:rPr>
      </w:pPr>
    </w:p>
    <w:p w:rsidR="004E051F" w:rsidRDefault="0008376D">
      <w:pPr>
        <w:numPr>
          <w:ilvl w:val="0"/>
          <w:numId w:val="4"/>
        </w:numPr>
        <w:rPr>
          <w:rFonts w:ascii="Arial" w:eastAsia="Arial" w:hAnsi="Arial" w:cs="Arial"/>
          <w:sz w:val="22"/>
          <w:szCs w:val="22"/>
        </w:rPr>
      </w:pPr>
      <w:r>
        <w:rPr>
          <w:sz w:val="22"/>
          <w:szCs w:val="22"/>
        </w:rPr>
        <w:t>if he or she is present at a face-to-face or virtual meeting of the Central Executive Committee or any other ALT committee at which the supply, contract or other matter is to be considered, shall not take part in the consideration or vote on any question with respect to it and shall not be counted in the quorum present at the meeting in relation to a resolution on which he or she is not entitled to vote; and</w:t>
      </w:r>
    </w:p>
    <w:p w:rsidR="004E051F" w:rsidRDefault="004E051F">
      <w:pPr>
        <w:rPr>
          <w:rFonts w:ascii="Arial" w:eastAsia="Arial" w:hAnsi="Arial" w:cs="Arial"/>
          <w:sz w:val="22"/>
          <w:szCs w:val="22"/>
        </w:rPr>
      </w:pPr>
    </w:p>
    <w:p w:rsidR="004E051F" w:rsidRDefault="0008376D">
      <w:pPr>
        <w:numPr>
          <w:ilvl w:val="0"/>
          <w:numId w:val="4"/>
        </w:numPr>
        <w:rPr>
          <w:rFonts w:ascii="Arial" w:eastAsia="Arial" w:hAnsi="Arial" w:cs="Arial"/>
          <w:sz w:val="22"/>
          <w:szCs w:val="22"/>
        </w:rPr>
      </w:pPr>
      <w:r>
        <w:rPr>
          <w:sz w:val="22"/>
          <w:szCs w:val="22"/>
        </w:rPr>
        <w:t xml:space="preserve">withdraw, if present at a meeting of the Central Executive Committee or any of its committees, at which such supply, contract or other matter is to be considered, where required to do so by a majority of the members present without such interests at the meeting. </w:t>
      </w:r>
    </w:p>
    <w:p w:rsidR="004E051F" w:rsidRDefault="004E051F">
      <w:pPr>
        <w:rPr>
          <w:rFonts w:ascii="Arial" w:eastAsia="Arial" w:hAnsi="Arial" w:cs="Arial"/>
          <w:sz w:val="22"/>
          <w:szCs w:val="22"/>
        </w:rPr>
      </w:pPr>
    </w:p>
    <w:p w:rsidR="004E051F" w:rsidRDefault="0008376D">
      <w:pPr>
        <w:numPr>
          <w:ilvl w:val="0"/>
          <w:numId w:val="1"/>
        </w:numPr>
        <w:rPr>
          <w:rFonts w:ascii="Arial" w:eastAsia="Arial" w:hAnsi="Arial" w:cs="Arial"/>
          <w:sz w:val="22"/>
          <w:szCs w:val="22"/>
        </w:rPr>
      </w:pPr>
      <w:r>
        <w:rPr>
          <w:sz w:val="22"/>
          <w:szCs w:val="22"/>
        </w:rPr>
        <w:t>This policy shall not prevent the members of the Central Executive Committee considering and voting upon proposals, despite the fact that members of the Central Executive Committee had interests in the outcome of the decisions, for example:</w:t>
      </w:r>
    </w:p>
    <w:p w:rsidR="004E051F" w:rsidRDefault="0008376D">
      <w:pPr>
        <w:numPr>
          <w:ilvl w:val="0"/>
          <w:numId w:val="9"/>
        </w:numPr>
        <w:rPr>
          <w:sz w:val="22"/>
          <w:szCs w:val="22"/>
        </w:rPr>
      </w:pPr>
      <w:r>
        <w:rPr>
          <w:sz w:val="22"/>
          <w:szCs w:val="22"/>
        </w:rPr>
        <w:t>for ALT to insure trustees against liabilities incurred by them arising out of their office, and for ALT to obtain such insurance;</w:t>
      </w:r>
    </w:p>
    <w:p w:rsidR="004E051F" w:rsidRDefault="0008376D">
      <w:pPr>
        <w:numPr>
          <w:ilvl w:val="0"/>
          <w:numId w:val="9"/>
        </w:numPr>
        <w:rPr>
          <w:sz w:val="22"/>
          <w:szCs w:val="22"/>
        </w:rPr>
      </w:pPr>
      <w:r>
        <w:rPr>
          <w:sz w:val="22"/>
          <w:szCs w:val="22"/>
        </w:rPr>
        <w:t>to approve policies on normal business arrangements such as the reimbursement of expenses.</w:t>
      </w:r>
    </w:p>
    <w:p w:rsidR="004E051F" w:rsidRDefault="004E051F">
      <w:pPr>
        <w:rPr>
          <w:rFonts w:ascii="Arial" w:eastAsia="Arial" w:hAnsi="Arial" w:cs="Arial"/>
          <w:sz w:val="22"/>
          <w:szCs w:val="22"/>
        </w:rPr>
      </w:pPr>
    </w:p>
    <w:p w:rsidR="004E051F" w:rsidRDefault="0008376D">
      <w:pPr>
        <w:numPr>
          <w:ilvl w:val="0"/>
          <w:numId w:val="1"/>
        </w:numPr>
        <w:rPr>
          <w:rFonts w:ascii="Arial" w:eastAsia="Arial" w:hAnsi="Arial" w:cs="Arial"/>
          <w:sz w:val="22"/>
          <w:szCs w:val="22"/>
        </w:rPr>
      </w:pPr>
      <w:r>
        <w:rPr>
          <w:sz w:val="22"/>
          <w:szCs w:val="22"/>
        </w:rPr>
        <w:lastRenderedPageBreak/>
        <w:t>ALT shall maintain a Register of Interests of trustees and senior members of staff in the form prescribed below, and this shall be made available on written notice during normal office hours at the ALT office to any person wishing to inspect it.  It shall be a condition of trusteeship and of employment as a senior member of staff that trustees and senior members of staff register their interests, review their entry in the register annually or on request, and update their entry in the register if their interests change or have changed.</w:t>
      </w:r>
    </w:p>
    <w:p w:rsidR="004E051F" w:rsidRDefault="004E051F">
      <w:pPr>
        <w:jc w:val="both"/>
        <w:rPr>
          <w:rFonts w:ascii="Arial" w:eastAsia="Arial" w:hAnsi="Arial" w:cs="Arial"/>
        </w:rPr>
      </w:pPr>
    </w:p>
    <w:p w:rsidR="004E051F" w:rsidRDefault="004E051F">
      <w:pPr>
        <w:jc w:val="both"/>
        <w:rPr>
          <w:rFonts w:ascii="Arial" w:eastAsia="Arial" w:hAnsi="Arial" w:cs="Arial"/>
        </w:rPr>
      </w:pPr>
    </w:p>
    <w:p w:rsidR="004E051F" w:rsidRDefault="004E051F">
      <w:pPr>
        <w:jc w:val="center"/>
        <w:rPr>
          <w:rFonts w:ascii="Arial" w:eastAsia="Arial" w:hAnsi="Arial" w:cs="Arial"/>
        </w:rPr>
      </w:pPr>
    </w:p>
    <w:p w:rsidR="004E051F" w:rsidRDefault="0008376D">
      <w:pPr>
        <w:rPr>
          <w:rFonts w:ascii="Arial" w:eastAsia="Arial" w:hAnsi="Arial" w:cs="Arial"/>
          <w:sz w:val="22"/>
          <w:szCs w:val="22"/>
        </w:rPr>
      </w:pPr>
      <w:r>
        <w:rPr>
          <w:b/>
          <w:sz w:val="22"/>
          <w:szCs w:val="22"/>
        </w:rPr>
        <w:t>REGISTER OF INTERESTS OF TRUSTEES AND SENIOR STAFF MEMBERS</w:t>
      </w:r>
    </w:p>
    <w:p w:rsidR="004E051F" w:rsidRDefault="004E051F">
      <w:pPr>
        <w:rPr>
          <w:rFonts w:ascii="Arial" w:eastAsia="Arial" w:hAnsi="Arial" w:cs="Arial"/>
          <w:sz w:val="22"/>
          <w:szCs w:val="22"/>
        </w:rPr>
      </w:pPr>
    </w:p>
    <w:p w:rsidR="004E051F" w:rsidRDefault="004E051F">
      <w:pPr>
        <w:jc w:val="center"/>
        <w:rPr>
          <w:rFonts w:ascii="Arial" w:eastAsia="Arial" w:hAnsi="Arial" w:cs="Arial"/>
          <w:sz w:val="22"/>
          <w:szCs w:val="22"/>
        </w:rPr>
      </w:pPr>
    </w:p>
    <w:p w:rsidR="004E051F" w:rsidRDefault="0008376D">
      <w:pPr>
        <w:rPr>
          <w:sz w:val="22"/>
          <w:szCs w:val="22"/>
        </w:rPr>
      </w:pPr>
      <w:r>
        <w:rPr>
          <w:sz w:val="22"/>
          <w:szCs w:val="22"/>
        </w:rPr>
        <w:t xml:space="preserve">I, </w:t>
      </w:r>
    </w:p>
    <w:p w:rsidR="004E051F" w:rsidRDefault="004E051F">
      <w:pPr>
        <w:rPr>
          <w:sz w:val="22"/>
          <w:szCs w:val="22"/>
        </w:rPr>
      </w:pPr>
    </w:p>
    <w:p w:rsidR="004E051F" w:rsidRDefault="0008376D">
      <w:pPr>
        <w:rPr>
          <w:sz w:val="22"/>
          <w:szCs w:val="22"/>
        </w:rPr>
      </w:pPr>
      <w:r>
        <w:rPr>
          <w:sz w:val="22"/>
          <w:szCs w:val="22"/>
        </w:rPr>
        <w:t>________________________________________________</w:t>
      </w:r>
    </w:p>
    <w:p w:rsidR="004E051F" w:rsidRDefault="004E051F">
      <w:pPr>
        <w:rPr>
          <w:sz w:val="22"/>
          <w:szCs w:val="22"/>
        </w:rPr>
      </w:pPr>
    </w:p>
    <w:p w:rsidR="004E051F" w:rsidRDefault="0008376D">
      <w:pPr>
        <w:rPr>
          <w:rFonts w:ascii="Arial" w:eastAsia="Arial" w:hAnsi="Arial" w:cs="Arial"/>
          <w:sz w:val="22"/>
          <w:szCs w:val="22"/>
        </w:rPr>
      </w:pPr>
      <w:r>
        <w:rPr>
          <w:sz w:val="22"/>
          <w:szCs w:val="22"/>
        </w:rPr>
        <w:t>have read the Notes that follow immediately after the form below, and declare the following interests:</w:t>
      </w: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tbl>
      <w:tblPr>
        <w:tblStyle w:val="a0"/>
        <w:tblW w:w="8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22"/>
      </w:tblGrid>
      <w:tr w:rsidR="004E051F">
        <w:tc>
          <w:tcPr>
            <w:tcW w:w="8522" w:type="dxa"/>
          </w:tcPr>
          <w:p w:rsidR="004E051F" w:rsidRDefault="004E051F">
            <w:pPr>
              <w:rPr>
                <w:rFonts w:ascii="Arial" w:eastAsia="Arial" w:hAnsi="Arial" w:cs="Arial"/>
                <w:sz w:val="22"/>
                <w:szCs w:val="22"/>
              </w:rPr>
            </w:pPr>
          </w:p>
          <w:p w:rsidR="004E051F" w:rsidRDefault="0008376D">
            <w:pPr>
              <w:rPr>
                <w:rFonts w:ascii="Arial" w:eastAsia="Arial" w:hAnsi="Arial" w:cs="Arial"/>
                <w:sz w:val="22"/>
                <w:szCs w:val="22"/>
              </w:rPr>
            </w:pPr>
            <w:r>
              <w:rPr>
                <w:sz w:val="22"/>
                <w:szCs w:val="22"/>
              </w:rPr>
              <w:t xml:space="preserve">My Interests </w:t>
            </w: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tc>
      </w:tr>
      <w:tr w:rsidR="004E051F">
        <w:tc>
          <w:tcPr>
            <w:tcW w:w="8522" w:type="dxa"/>
          </w:tcPr>
          <w:p w:rsidR="004E051F" w:rsidRDefault="004E051F">
            <w:pPr>
              <w:rPr>
                <w:rFonts w:ascii="Arial" w:eastAsia="Arial" w:hAnsi="Arial" w:cs="Arial"/>
                <w:sz w:val="22"/>
                <w:szCs w:val="22"/>
              </w:rPr>
            </w:pPr>
          </w:p>
          <w:p w:rsidR="004E051F" w:rsidRDefault="0008376D">
            <w:pPr>
              <w:rPr>
                <w:rFonts w:ascii="Arial" w:eastAsia="Arial" w:hAnsi="Arial" w:cs="Arial"/>
                <w:sz w:val="22"/>
                <w:szCs w:val="22"/>
              </w:rPr>
            </w:pPr>
            <w:r>
              <w:rPr>
                <w:sz w:val="22"/>
                <w:szCs w:val="22"/>
              </w:rPr>
              <w:t>My spouse/partner’s Interests</w:t>
            </w: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tc>
      </w:tr>
      <w:tr w:rsidR="004E051F">
        <w:tc>
          <w:tcPr>
            <w:tcW w:w="8522" w:type="dxa"/>
          </w:tcPr>
          <w:p w:rsidR="004E051F" w:rsidRDefault="004E051F">
            <w:pPr>
              <w:rPr>
                <w:rFonts w:ascii="Arial" w:eastAsia="Arial" w:hAnsi="Arial" w:cs="Arial"/>
                <w:sz w:val="22"/>
                <w:szCs w:val="22"/>
              </w:rPr>
            </w:pPr>
          </w:p>
          <w:p w:rsidR="004E051F" w:rsidRDefault="0008376D">
            <w:pPr>
              <w:rPr>
                <w:rFonts w:ascii="Arial" w:eastAsia="Arial" w:hAnsi="Arial" w:cs="Arial"/>
                <w:sz w:val="22"/>
                <w:szCs w:val="22"/>
              </w:rPr>
            </w:pPr>
            <w:r>
              <w:rPr>
                <w:sz w:val="22"/>
                <w:szCs w:val="22"/>
              </w:rPr>
              <w:t>Interests of members of my family</w:t>
            </w:r>
          </w:p>
          <w:p w:rsidR="004E051F" w:rsidRDefault="004E051F">
            <w:pPr>
              <w:rPr>
                <w:rFonts w:ascii="Arial" w:eastAsia="Arial" w:hAnsi="Arial" w:cs="Arial"/>
                <w:sz w:val="22"/>
                <w:szCs w:val="22"/>
              </w:rPr>
            </w:pPr>
          </w:p>
          <w:p w:rsidR="004E051F" w:rsidRDefault="0008376D">
            <w:pPr>
              <w:rPr>
                <w:rFonts w:ascii="Arial" w:eastAsia="Arial" w:hAnsi="Arial" w:cs="Arial"/>
                <w:sz w:val="22"/>
                <w:szCs w:val="22"/>
              </w:rPr>
            </w:pPr>
            <w:r>
              <w:rPr>
                <w:i/>
                <w:sz w:val="22"/>
                <w:szCs w:val="22"/>
              </w:rPr>
              <w:t>Name                                  Relationship to me                            Interests</w:t>
            </w: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p w:rsidR="004E051F" w:rsidRDefault="004E051F">
            <w:pPr>
              <w:rPr>
                <w:rFonts w:ascii="Arial" w:eastAsia="Arial" w:hAnsi="Arial" w:cs="Arial"/>
                <w:sz w:val="22"/>
                <w:szCs w:val="22"/>
              </w:rPr>
            </w:pPr>
          </w:p>
        </w:tc>
      </w:tr>
    </w:tbl>
    <w:p w:rsidR="004E051F" w:rsidRDefault="004E051F">
      <w:pPr>
        <w:rPr>
          <w:rFonts w:ascii="Arial" w:eastAsia="Arial" w:hAnsi="Arial" w:cs="Arial"/>
          <w:sz w:val="22"/>
          <w:szCs w:val="22"/>
        </w:rPr>
      </w:pPr>
    </w:p>
    <w:p w:rsidR="004E051F" w:rsidRDefault="0008376D">
      <w:pPr>
        <w:pBdr>
          <w:top w:val="nil"/>
          <w:left w:val="nil"/>
          <w:bottom w:val="nil"/>
          <w:right w:val="nil"/>
          <w:between w:val="nil"/>
        </w:pBdr>
        <w:tabs>
          <w:tab w:val="right" w:pos="9045"/>
        </w:tabs>
        <w:rPr>
          <w:b/>
        </w:rPr>
      </w:pPr>
      <w:r>
        <w:rPr>
          <w:b/>
        </w:rPr>
        <w:t>ALT is a registered charitable incorporated organisation, charity number 1160039</w:t>
      </w:r>
    </w:p>
    <w:p w:rsidR="004E051F" w:rsidRDefault="004E051F">
      <w:pPr>
        <w:pBdr>
          <w:top w:val="nil"/>
          <w:left w:val="nil"/>
          <w:bottom w:val="nil"/>
          <w:right w:val="nil"/>
          <w:between w:val="nil"/>
        </w:pBdr>
        <w:tabs>
          <w:tab w:val="right" w:pos="9045"/>
        </w:tabs>
        <w:rPr>
          <w:b/>
        </w:rPr>
      </w:pPr>
    </w:p>
    <w:p w:rsidR="004E051F" w:rsidRDefault="0008376D">
      <w:pPr>
        <w:pBdr>
          <w:top w:val="nil"/>
          <w:left w:val="nil"/>
          <w:bottom w:val="nil"/>
          <w:right w:val="nil"/>
          <w:between w:val="nil"/>
        </w:pBdr>
        <w:tabs>
          <w:tab w:val="right" w:pos="9045"/>
        </w:tabs>
        <w:rPr>
          <w:b/>
        </w:rPr>
      </w:pPr>
      <w:r>
        <w:rPr>
          <w:b/>
        </w:rPr>
        <w:t>Name:</w:t>
      </w:r>
    </w:p>
    <w:p w:rsidR="004E051F" w:rsidRDefault="0008376D">
      <w:pPr>
        <w:pBdr>
          <w:top w:val="nil"/>
          <w:left w:val="nil"/>
          <w:bottom w:val="nil"/>
          <w:right w:val="nil"/>
          <w:between w:val="nil"/>
        </w:pBdr>
        <w:tabs>
          <w:tab w:val="right" w:pos="9045"/>
        </w:tabs>
        <w:rPr>
          <w:b/>
        </w:rPr>
      </w:pPr>
      <w:r>
        <w:rPr>
          <w:b/>
        </w:rPr>
        <w:t>Signed:</w:t>
      </w:r>
    </w:p>
    <w:p w:rsidR="004E051F" w:rsidRDefault="0008376D">
      <w:pPr>
        <w:pBdr>
          <w:top w:val="nil"/>
          <w:left w:val="nil"/>
          <w:bottom w:val="nil"/>
          <w:right w:val="nil"/>
          <w:between w:val="nil"/>
        </w:pBdr>
        <w:tabs>
          <w:tab w:val="right" w:pos="9045"/>
        </w:tabs>
        <w:rPr>
          <w:b/>
        </w:rPr>
      </w:pPr>
      <w:r>
        <w:rPr>
          <w:b/>
        </w:rPr>
        <w:t xml:space="preserve">Dated: </w:t>
      </w:r>
    </w:p>
    <w:p w:rsidR="004E051F" w:rsidRDefault="004E051F">
      <w:pPr>
        <w:pBdr>
          <w:top w:val="nil"/>
          <w:left w:val="nil"/>
          <w:bottom w:val="nil"/>
          <w:right w:val="nil"/>
          <w:between w:val="nil"/>
        </w:pBdr>
        <w:tabs>
          <w:tab w:val="right" w:pos="9045"/>
        </w:tabs>
        <w:rPr>
          <w:b/>
        </w:rPr>
      </w:pPr>
    </w:p>
    <w:p w:rsidR="004E051F" w:rsidRDefault="004E051F">
      <w:pPr>
        <w:rPr>
          <w:b/>
          <w:sz w:val="22"/>
          <w:szCs w:val="22"/>
        </w:rPr>
      </w:pPr>
    </w:p>
    <w:p w:rsidR="004E051F" w:rsidRDefault="004E051F">
      <w:pPr>
        <w:rPr>
          <w:b/>
          <w:sz w:val="22"/>
          <w:szCs w:val="22"/>
        </w:rPr>
      </w:pPr>
    </w:p>
    <w:p w:rsidR="004E051F" w:rsidRDefault="0008376D">
      <w:pPr>
        <w:rPr>
          <w:rFonts w:ascii="Arial" w:eastAsia="Arial" w:hAnsi="Arial" w:cs="Arial"/>
          <w:sz w:val="22"/>
          <w:szCs w:val="22"/>
        </w:rPr>
      </w:pPr>
      <w:r>
        <w:rPr>
          <w:b/>
          <w:sz w:val="22"/>
          <w:szCs w:val="22"/>
        </w:rPr>
        <w:t>Notes on completion of Register of Interests:</w:t>
      </w:r>
    </w:p>
    <w:p w:rsidR="004E051F" w:rsidRDefault="004E051F">
      <w:pPr>
        <w:rPr>
          <w:rFonts w:ascii="Arial" w:eastAsia="Arial" w:hAnsi="Arial" w:cs="Arial"/>
          <w:sz w:val="22"/>
          <w:szCs w:val="22"/>
        </w:rPr>
      </w:pPr>
    </w:p>
    <w:p w:rsidR="004E051F" w:rsidRDefault="0008376D">
      <w:pPr>
        <w:numPr>
          <w:ilvl w:val="0"/>
          <w:numId w:val="7"/>
        </w:numPr>
        <w:rPr>
          <w:rFonts w:ascii="Arial" w:eastAsia="Arial" w:hAnsi="Arial" w:cs="Arial"/>
          <w:sz w:val="22"/>
          <w:szCs w:val="22"/>
        </w:rPr>
      </w:pPr>
      <w:r>
        <w:rPr>
          <w:sz w:val="22"/>
          <w:szCs w:val="22"/>
        </w:rPr>
        <w:t>Senior staff, for the purposes of declaration of interests, are defined as :</w:t>
      </w:r>
    </w:p>
    <w:p w:rsidR="004E051F" w:rsidRDefault="004E051F">
      <w:pPr>
        <w:rPr>
          <w:rFonts w:ascii="Arial" w:eastAsia="Arial" w:hAnsi="Arial" w:cs="Arial"/>
          <w:sz w:val="22"/>
          <w:szCs w:val="22"/>
        </w:rPr>
      </w:pPr>
    </w:p>
    <w:p w:rsidR="004E051F" w:rsidRDefault="0008376D">
      <w:pPr>
        <w:numPr>
          <w:ilvl w:val="0"/>
          <w:numId w:val="5"/>
        </w:numPr>
        <w:ind w:left="1287"/>
        <w:rPr>
          <w:rFonts w:ascii="Arial" w:eastAsia="Arial" w:hAnsi="Arial" w:cs="Arial"/>
          <w:sz w:val="22"/>
          <w:szCs w:val="22"/>
        </w:rPr>
      </w:pPr>
      <w:r>
        <w:rPr>
          <w:sz w:val="22"/>
          <w:szCs w:val="22"/>
        </w:rPr>
        <w:t>Chief Executive</w:t>
      </w:r>
    </w:p>
    <w:p w:rsidR="004E051F" w:rsidRDefault="0008376D">
      <w:pPr>
        <w:numPr>
          <w:ilvl w:val="0"/>
          <w:numId w:val="5"/>
        </w:numPr>
        <w:ind w:left="1287"/>
        <w:rPr>
          <w:rFonts w:ascii="Arial" w:eastAsia="Arial" w:hAnsi="Arial" w:cs="Arial"/>
          <w:sz w:val="22"/>
          <w:szCs w:val="22"/>
        </w:rPr>
      </w:pPr>
      <w:r>
        <w:rPr>
          <w:rFonts w:ascii="Arial" w:eastAsia="Arial" w:hAnsi="Arial" w:cs="Arial"/>
          <w:sz w:val="22"/>
          <w:szCs w:val="22"/>
        </w:rPr>
        <w:t>Chief Officer for Innovation, Technology and Community</w:t>
      </w:r>
    </w:p>
    <w:p w:rsidR="004E051F" w:rsidRDefault="004E051F">
      <w:pPr>
        <w:rPr>
          <w:rFonts w:ascii="Arial" w:eastAsia="Arial" w:hAnsi="Arial" w:cs="Arial"/>
          <w:sz w:val="22"/>
          <w:szCs w:val="22"/>
        </w:rPr>
      </w:pPr>
    </w:p>
    <w:p w:rsidR="004E051F" w:rsidRDefault="0008376D">
      <w:pPr>
        <w:numPr>
          <w:ilvl w:val="0"/>
          <w:numId w:val="7"/>
        </w:numPr>
        <w:rPr>
          <w:rFonts w:ascii="Arial" w:eastAsia="Arial" w:hAnsi="Arial" w:cs="Arial"/>
          <w:sz w:val="22"/>
          <w:szCs w:val="22"/>
        </w:rPr>
      </w:pPr>
      <w:r>
        <w:rPr>
          <w:sz w:val="22"/>
          <w:szCs w:val="22"/>
        </w:rPr>
        <w:t xml:space="preserve">Interests to be declared are any financial, business or personal interests which, when publicly known, would or could be perceived as likely to affect your judgement in relation to any aspect of ALT’s business.  For guidance you should consider declaring the interests listed below, where there is clear cut linkage or potential linkage between the interest, and ALT's areas of activity, taking account of the fact that the list is indicative rather than prescriptive, and that a sense of proportionality should be maintained when deciding on what to declare. Remember also that what you declare is for you to decide, and that in practice most interests outside of employment (of the kind described below) are unlikely to be perceived as likely to affect your judgement, and would not therefore need to be disclosed. </w:t>
      </w:r>
    </w:p>
    <w:p w:rsidR="004E051F" w:rsidRDefault="004E051F">
      <w:pPr>
        <w:rPr>
          <w:rFonts w:ascii="Arial" w:eastAsia="Arial" w:hAnsi="Arial" w:cs="Arial"/>
          <w:sz w:val="22"/>
          <w:szCs w:val="22"/>
        </w:rPr>
      </w:pPr>
      <w:bookmarkStart w:id="0" w:name="_GoBack"/>
      <w:bookmarkEnd w:id="0"/>
    </w:p>
    <w:p w:rsidR="004E051F" w:rsidRDefault="0008376D">
      <w:pPr>
        <w:pStyle w:val="Heading3"/>
        <w:rPr>
          <w:rFonts w:ascii="Arial" w:eastAsia="Arial" w:hAnsi="Arial" w:cs="Arial"/>
          <w:b/>
          <w:sz w:val="22"/>
          <w:szCs w:val="22"/>
        </w:rPr>
      </w:pPr>
      <w:r>
        <w:rPr>
          <w:b/>
          <w:sz w:val="22"/>
          <w:szCs w:val="22"/>
        </w:rPr>
        <w:t>Financial Interests</w:t>
      </w:r>
    </w:p>
    <w:p w:rsidR="004E051F" w:rsidRDefault="004E051F">
      <w:pPr>
        <w:ind w:left="720"/>
        <w:rPr>
          <w:rFonts w:ascii="Arial" w:eastAsia="Arial" w:hAnsi="Arial" w:cs="Arial"/>
          <w:sz w:val="22"/>
          <w:szCs w:val="22"/>
        </w:rPr>
      </w:pPr>
    </w:p>
    <w:p w:rsidR="004E051F" w:rsidRDefault="0008376D">
      <w:pPr>
        <w:numPr>
          <w:ilvl w:val="0"/>
          <w:numId w:val="8"/>
        </w:numPr>
        <w:ind w:left="1287"/>
        <w:rPr>
          <w:rFonts w:ascii="Arial" w:eastAsia="Arial" w:hAnsi="Arial" w:cs="Arial"/>
          <w:sz w:val="22"/>
          <w:szCs w:val="22"/>
        </w:rPr>
      </w:pPr>
      <w:r>
        <w:rPr>
          <w:sz w:val="22"/>
          <w:szCs w:val="22"/>
        </w:rPr>
        <w:t>Remunerated employment, office, profession or other activity</w:t>
      </w:r>
    </w:p>
    <w:p w:rsidR="004E051F" w:rsidRDefault="0008376D">
      <w:pPr>
        <w:numPr>
          <w:ilvl w:val="0"/>
          <w:numId w:val="8"/>
        </w:numPr>
        <w:ind w:left="1287"/>
        <w:rPr>
          <w:rFonts w:ascii="Arial" w:eastAsia="Arial" w:hAnsi="Arial" w:cs="Arial"/>
          <w:sz w:val="22"/>
          <w:szCs w:val="22"/>
        </w:rPr>
      </w:pPr>
      <w:r>
        <w:rPr>
          <w:sz w:val="22"/>
          <w:szCs w:val="22"/>
        </w:rPr>
        <w:t>Directorship of a company</w:t>
      </w:r>
    </w:p>
    <w:p w:rsidR="004E051F" w:rsidRDefault="0008376D">
      <w:pPr>
        <w:numPr>
          <w:ilvl w:val="0"/>
          <w:numId w:val="8"/>
        </w:numPr>
        <w:ind w:left="1287"/>
        <w:rPr>
          <w:rFonts w:ascii="Arial" w:eastAsia="Arial" w:hAnsi="Arial" w:cs="Arial"/>
          <w:sz w:val="22"/>
          <w:szCs w:val="22"/>
        </w:rPr>
      </w:pPr>
      <w:r>
        <w:rPr>
          <w:sz w:val="22"/>
          <w:szCs w:val="22"/>
        </w:rPr>
        <w:t xml:space="preserve">Shareholdings (greater than 5%) in a company (senior staff must declare </w:t>
      </w:r>
      <w:r>
        <w:rPr>
          <w:sz w:val="22"/>
          <w:szCs w:val="22"/>
          <w:u w:val="single"/>
        </w:rPr>
        <w:t>all</w:t>
      </w:r>
      <w:r>
        <w:rPr>
          <w:sz w:val="22"/>
          <w:szCs w:val="22"/>
        </w:rPr>
        <w:t xml:space="preserve"> shareholdings)</w:t>
      </w:r>
    </w:p>
    <w:p w:rsidR="004E051F" w:rsidRDefault="0008376D">
      <w:pPr>
        <w:numPr>
          <w:ilvl w:val="0"/>
          <w:numId w:val="8"/>
        </w:numPr>
        <w:ind w:left="1287"/>
        <w:rPr>
          <w:rFonts w:ascii="Arial" w:eastAsia="Arial" w:hAnsi="Arial" w:cs="Arial"/>
          <w:sz w:val="22"/>
          <w:szCs w:val="22"/>
        </w:rPr>
      </w:pPr>
      <w:r>
        <w:rPr>
          <w:sz w:val="22"/>
          <w:szCs w:val="22"/>
        </w:rPr>
        <w:t>Partnership in a business or professional partnership</w:t>
      </w:r>
    </w:p>
    <w:p w:rsidR="004E051F" w:rsidRDefault="0008376D">
      <w:pPr>
        <w:numPr>
          <w:ilvl w:val="0"/>
          <w:numId w:val="8"/>
        </w:numPr>
        <w:ind w:left="1287"/>
        <w:rPr>
          <w:rFonts w:ascii="Arial" w:eastAsia="Arial" w:hAnsi="Arial" w:cs="Arial"/>
          <w:sz w:val="22"/>
          <w:szCs w:val="22"/>
        </w:rPr>
      </w:pPr>
      <w:r>
        <w:rPr>
          <w:sz w:val="22"/>
          <w:szCs w:val="22"/>
        </w:rPr>
        <w:t>Consultancies (whether or not remunerated)</w:t>
      </w:r>
    </w:p>
    <w:p w:rsidR="004E051F" w:rsidRDefault="0008376D">
      <w:pPr>
        <w:numPr>
          <w:ilvl w:val="0"/>
          <w:numId w:val="8"/>
        </w:numPr>
        <w:ind w:left="1287"/>
        <w:rPr>
          <w:rFonts w:ascii="Arial" w:eastAsia="Arial" w:hAnsi="Arial" w:cs="Arial"/>
          <w:sz w:val="22"/>
          <w:szCs w:val="22"/>
        </w:rPr>
      </w:pPr>
      <w:r>
        <w:rPr>
          <w:sz w:val="22"/>
          <w:szCs w:val="22"/>
        </w:rPr>
        <w:t>Trusteeship of a trust where you or your spouse/partner or a member of your family may be a beneficiary</w:t>
      </w:r>
    </w:p>
    <w:p w:rsidR="004E051F" w:rsidRDefault="0008376D">
      <w:pPr>
        <w:numPr>
          <w:ilvl w:val="0"/>
          <w:numId w:val="8"/>
        </w:numPr>
        <w:ind w:left="1287"/>
        <w:rPr>
          <w:rFonts w:ascii="Arial" w:eastAsia="Arial" w:hAnsi="Arial" w:cs="Arial"/>
          <w:sz w:val="22"/>
          <w:szCs w:val="22"/>
        </w:rPr>
      </w:pPr>
      <w:r>
        <w:rPr>
          <w:sz w:val="22"/>
          <w:szCs w:val="22"/>
        </w:rPr>
        <w:t>Gifts or hospitality offered by outside bodies and arising from your position as a trustee or senior member of staff</w:t>
      </w:r>
    </w:p>
    <w:p w:rsidR="004E051F" w:rsidRDefault="0008376D">
      <w:pPr>
        <w:numPr>
          <w:ilvl w:val="0"/>
          <w:numId w:val="8"/>
        </w:numPr>
        <w:ind w:left="1287"/>
        <w:rPr>
          <w:rFonts w:ascii="Arial" w:eastAsia="Arial" w:hAnsi="Arial" w:cs="Arial"/>
          <w:sz w:val="22"/>
          <w:szCs w:val="22"/>
        </w:rPr>
      </w:pPr>
      <w:r>
        <w:rPr>
          <w:sz w:val="22"/>
          <w:szCs w:val="22"/>
        </w:rPr>
        <w:t>All known financial interests with ALT, such as provision of goods and services or remuneration for consultancies</w:t>
      </w:r>
    </w:p>
    <w:p w:rsidR="004E051F" w:rsidRDefault="004E051F">
      <w:pPr>
        <w:rPr>
          <w:rFonts w:ascii="Arial" w:eastAsia="Arial" w:hAnsi="Arial" w:cs="Arial"/>
          <w:sz w:val="22"/>
          <w:szCs w:val="22"/>
        </w:rPr>
      </w:pPr>
    </w:p>
    <w:p w:rsidR="004E051F" w:rsidRDefault="0008376D">
      <w:pPr>
        <w:pStyle w:val="Heading3"/>
        <w:rPr>
          <w:rFonts w:ascii="Arial" w:eastAsia="Arial" w:hAnsi="Arial" w:cs="Arial"/>
          <w:b/>
          <w:sz w:val="22"/>
          <w:szCs w:val="22"/>
        </w:rPr>
      </w:pPr>
      <w:bookmarkStart w:id="1" w:name="_kza0y42btvj" w:colFirst="0" w:colLast="0"/>
      <w:bookmarkEnd w:id="1"/>
      <w:r>
        <w:rPr>
          <w:b/>
          <w:sz w:val="22"/>
          <w:szCs w:val="22"/>
        </w:rPr>
        <w:t>Personal Interests</w:t>
      </w:r>
    </w:p>
    <w:p w:rsidR="004E051F" w:rsidRDefault="004E051F">
      <w:pPr>
        <w:ind w:left="720"/>
        <w:rPr>
          <w:rFonts w:ascii="Arial" w:eastAsia="Arial" w:hAnsi="Arial" w:cs="Arial"/>
          <w:sz w:val="22"/>
          <w:szCs w:val="22"/>
        </w:rPr>
      </w:pPr>
    </w:p>
    <w:p w:rsidR="004E051F" w:rsidRDefault="0008376D">
      <w:pPr>
        <w:numPr>
          <w:ilvl w:val="0"/>
          <w:numId w:val="6"/>
        </w:numPr>
        <w:ind w:left="1287"/>
        <w:rPr>
          <w:rFonts w:ascii="Arial" w:eastAsia="Arial" w:hAnsi="Arial" w:cs="Arial"/>
          <w:sz w:val="22"/>
          <w:szCs w:val="22"/>
        </w:rPr>
      </w:pPr>
      <w:r>
        <w:rPr>
          <w:sz w:val="22"/>
          <w:szCs w:val="22"/>
        </w:rPr>
        <w:t>Membership of a public body, including:</w:t>
      </w:r>
    </w:p>
    <w:p w:rsidR="004E051F" w:rsidRDefault="004E051F">
      <w:pPr>
        <w:ind w:firstLine="720"/>
        <w:rPr>
          <w:rFonts w:ascii="Arial" w:eastAsia="Arial" w:hAnsi="Arial" w:cs="Arial"/>
          <w:sz w:val="22"/>
          <w:szCs w:val="22"/>
        </w:rPr>
      </w:pPr>
    </w:p>
    <w:p w:rsidR="004E051F" w:rsidRDefault="0008376D">
      <w:pPr>
        <w:numPr>
          <w:ilvl w:val="0"/>
          <w:numId w:val="2"/>
        </w:numPr>
        <w:ind w:left="1854"/>
        <w:rPr>
          <w:sz w:val="22"/>
          <w:szCs w:val="22"/>
        </w:rPr>
      </w:pPr>
      <w:r>
        <w:rPr>
          <w:sz w:val="22"/>
          <w:szCs w:val="22"/>
        </w:rPr>
        <w:lastRenderedPageBreak/>
        <w:t>Local Authorities</w:t>
      </w:r>
    </w:p>
    <w:p w:rsidR="004E051F" w:rsidRDefault="0008376D">
      <w:pPr>
        <w:numPr>
          <w:ilvl w:val="0"/>
          <w:numId w:val="2"/>
        </w:numPr>
        <w:ind w:left="1854"/>
        <w:rPr>
          <w:sz w:val="22"/>
          <w:szCs w:val="22"/>
        </w:rPr>
      </w:pPr>
      <w:r>
        <w:rPr>
          <w:sz w:val="22"/>
          <w:szCs w:val="22"/>
        </w:rPr>
        <w:t>School or College Governing Bodies</w:t>
      </w:r>
    </w:p>
    <w:p w:rsidR="004E051F" w:rsidRDefault="0008376D">
      <w:pPr>
        <w:numPr>
          <w:ilvl w:val="0"/>
          <w:numId w:val="2"/>
        </w:numPr>
        <w:ind w:left="1854"/>
        <w:rPr>
          <w:sz w:val="22"/>
          <w:szCs w:val="22"/>
        </w:rPr>
      </w:pPr>
      <w:r>
        <w:rPr>
          <w:sz w:val="22"/>
          <w:szCs w:val="22"/>
        </w:rPr>
        <w:t>Funding Councils</w:t>
      </w:r>
    </w:p>
    <w:p w:rsidR="004E051F" w:rsidRDefault="0008376D">
      <w:pPr>
        <w:numPr>
          <w:ilvl w:val="0"/>
          <w:numId w:val="2"/>
        </w:numPr>
        <w:ind w:left="1854"/>
        <w:rPr>
          <w:sz w:val="22"/>
          <w:szCs w:val="22"/>
        </w:rPr>
      </w:pPr>
      <w:r>
        <w:rPr>
          <w:sz w:val="22"/>
          <w:szCs w:val="22"/>
        </w:rPr>
        <w:t>University Governing Bodies</w:t>
      </w:r>
    </w:p>
    <w:p w:rsidR="004E051F" w:rsidRDefault="004E051F">
      <w:pPr>
        <w:rPr>
          <w:rFonts w:ascii="Arial" w:eastAsia="Arial" w:hAnsi="Arial" w:cs="Arial"/>
          <w:sz w:val="22"/>
          <w:szCs w:val="22"/>
        </w:rPr>
      </w:pPr>
    </w:p>
    <w:p w:rsidR="004E051F" w:rsidRDefault="0008376D">
      <w:pPr>
        <w:numPr>
          <w:ilvl w:val="0"/>
          <w:numId w:val="6"/>
        </w:numPr>
        <w:ind w:left="1287"/>
        <w:rPr>
          <w:rFonts w:ascii="Arial" w:eastAsia="Arial" w:hAnsi="Arial" w:cs="Arial"/>
          <w:sz w:val="22"/>
          <w:szCs w:val="22"/>
        </w:rPr>
      </w:pPr>
      <w:r>
        <w:rPr>
          <w:sz w:val="22"/>
          <w:szCs w:val="22"/>
        </w:rPr>
        <w:t>Unremunerated posts, honorary positions and other positions that might give rise to a conflict of interest or of trust</w:t>
      </w:r>
    </w:p>
    <w:p w:rsidR="004E051F" w:rsidRDefault="004E051F">
      <w:pPr>
        <w:ind w:left="720"/>
        <w:rPr>
          <w:rFonts w:ascii="Arial" w:eastAsia="Arial" w:hAnsi="Arial" w:cs="Arial"/>
          <w:sz w:val="22"/>
          <w:szCs w:val="22"/>
        </w:rPr>
      </w:pPr>
    </w:p>
    <w:p w:rsidR="004E051F" w:rsidRDefault="0008376D">
      <w:pPr>
        <w:numPr>
          <w:ilvl w:val="0"/>
          <w:numId w:val="6"/>
        </w:numPr>
        <w:ind w:left="1287"/>
        <w:rPr>
          <w:rFonts w:ascii="Arial" w:eastAsia="Arial" w:hAnsi="Arial" w:cs="Arial"/>
          <w:sz w:val="22"/>
          <w:szCs w:val="22"/>
        </w:rPr>
      </w:pPr>
      <w:r>
        <w:rPr>
          <w:sz w:val="22"/>
          <w:szCs w:val="22"/>
        </w:rPr>
        <w:t>Membership of closed organisations</w:t>
      </w:r>
    </w:p>
    <w:p w:rsidR="004E051F" w:rsidRDefault="004E051F">
      <w:pPr>
        <w:ind w:left="720"/>
        <w:rPr>
          <w:rFonts w:ascii="Arial" w:eastAsia="Arial" w:hAnsi="Arial" w:cs="Arial"/>
          <w:sz w:val="22"/>
          <w:szCs w:val="22"/>
        </w:rPr>
      </w:pPr>
    </w:p>
    <w:p w:rsidR="004E051F" w:rsidRDefault="0008376D">
      <w:pPr>
        <w:ind w:left="720"/>
        <w:rPr>
          <w:rFonts w:ascii="Arial" w:eastAsia="Arial" w:hAnsi="Arial" w:cs="Arial"/>
          <w:sz w:val="22"/>
          <w:szCs w:val="22"/>
        </w:rPr>
      </w:pPr>
      <w:r>
        <w:rPr>
          <w:sz w:val="22"/>
          <w:szCs w:val="22"/>
        </w:rPr>
        <w:t>3.</w:t>
      </w:r>
      <w:r>
        <w:rPr>
          <w:sz w:val="22"/>
          <w:szCs w:val="22"/>
        </w:rPr>
        <w:tab/>
        <w:t>Other members of your family includes father, mother, brother, sister, child, stepchild or grandchild. (D</w:t>
      </w:r>
      <w:r>
        <w:t>eclaration of interests on behalf of family members is optional.)</w:t>
      </w:r>
    </w:p>
    <w:p w:rsidR="004E051F" w:rsidRDefault="004E051F">
      <w:pPr>
        <w:pBdr>
          <w:top w:val="nil"/>
          <w:left w:val="nil"/>
          <w:bottom w:val="nil"/>
          <w:right w:val="nil"/>
          <w:between w:val="nil"/>
        </w:pBdr>
        <w:tabs>
          <w:tab w:val="right" w:pos="9045"/>
        </w:tabs>
        <w:rPr>
          <w:b/>
        </w:rPr>
      </w:pPr>
    </w:p>
    <w:sectPr w:rsidR="004E051F">
      <w:footerReference w:type="default" r:id="rId8"/>
      <w:headerReference w:type="first" r:id="rId9"/>
      <w:footerReference w:type="first" r:id="rId10"/>
      <w:pgSz w:w="11906" w:h="16838"/>
      <w:pgMar w:top="1440" w:right="1440" w:bottom="1440" w:left="141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452" w:rsidRDefault="00030452">
      <w:r>
        <w:separator/>
      </w:r>
    </w:p>
  </w:endnote>
  <w:endnote w:type="continuationSeparator" w:id="0">
    <w:p w:rsidR="00030452" w:rsidRDefault="0003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auto"/>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1F" w:rsidRDefault="0008376D">
    <w:pPr>
      <w:pBdr>
        <w:top w:val="nil"/>
        <w:left w:val="nil"/>
        <w:bottom w:val="nil"/>
        <w:right w:val="nil"/>
        <w:between w:val="nil"/>
      </w:pBdr>
      <w:tabs>
        <w:tab w:val="right" w:pos="9045"/>
      </w:tabs>
      <w:rPr>
        <w:color w:val="07994F"/>
        <w:sz w:val="12"/>
        <w:szCs w:val="12"/>
      </w:rPr>
    </w:pPr>
    <w:r>
      <w:rPr>
        <w:color w:val="07994F"/>
        <w:sz w:val="12"/>
        <w:szCs w:val="12"/>
      </w:rPr>
      <w:t>______________________________________________________________________________________________________________________________________________________</w:t>
    </w:r>
  </w:p>
  <w:p w:rsidR="004E051F" w:rsidRDefault="0008376D">
    <w:pPr>
      <w:pBdr>
        <w:top w:val="nil"/>
        <w:left w:val="nil"/>
        <w:bottom w:val="nil"/>
        <w:right w:val="nil"/>
        <w:between w:val="nil"/>
      </w:pBdr>
      <w:tabs>
        <w:tab w:val="right" w:pos="9045"/>
      </w:tabs>
      <w:rPr>
        <w:color w:val="666666"/>
        <w:sz w:val="16"/>
        <w:szCs w:val="16"/>
      </w:rPr>
    </w:pPr>
    <w:r>
      <w:rPr>
        <w:color w:val="666666"/>
        <w:sz w:val="16"/>
        <w:szCs w:val="16"/>
      </w:rPr>
      <w:t>alt.ac.uk</w:t>
    </w:r>
    <w:r>
      <w:rPr>
        <w:color w:val="666666"/>
        <w:sz w:val="16"/>
        <w:szCs w:val="16"/>
      </w:rPr>
      <w:tab/>
    </w:r>
    <w:r>
      <w:rPr>
        <w:color w:val="666666"/>
        <w:sz w:val="16"/>
        <w:szCs w:val="16"/>
      </w:rPr>
      <w:fldChar w:fldCharType="begin"/>
    </w:r>
    <w:r>
      <w:rPr>
        <w:color w:val="666666"/>
        <w:sz w:val="16"/>
        <w:szCs w:val="16"/>
      </w:rPr>
      <w:instrText>PAGE</w:instrText>
    </w:r>
    <w:r>
      <w:rPr>
        <w:color w:val="666666"/>
        <w:sz w:val="16"/>
        <w:szCs w:val="16"/>
      </w:rPr>
      <w:fldChar w:fldCharType="separate"/>
    </w:r>
    <w:r w:rsidR="00E6691B">
      <w:rPr>
        <w:noProof/>
        <w:color w:val="666666"/>
        <w:sz w:val="16"/>
        <w:szCs w:val="16"/>
      </w:rPr>
      <w:t>2</w:t>
    </w:r>
    <w:r>
      <w:rPr>
        <w:color w:val="66666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1F" w:rsidRDefault="0008376D">
    <w:pPr>
      <w:pBdr>
        <w:top w:val="nil"/>
        <w:left w:val="nil"/>
        <w:bottom w:val="nil"/>
        <w:right w:val="nil"/>
        <w:between w:val="nil"/>
      </w:pBdr>
      <w:tabs>
        <w:tab w:val="right" w:pos="9045"/>
      </w:tabs>
      <w:ind w:left="1440" w:firstLine="720"/>
      <w:rPr>
        <w:sz w:val="16"/>
        <w:szCs w:val="16"/>
      </w:rPr>
    </w:pPr>
    <w:r>
      <w:rPr>
        <w:sz w:val="16"/>
        <w:szCs w:val="16"/>
      </w:rPr>
      <w:t>Association for Learning Technology, 3 Bignell Park Barns, Chesterton, Oxfordshire, OX26 1TD</w:t>
    </w:r>
    <w:r>
      <w:rPr>
        <w:sz w:val="16"/>
        <w:szCs w:val="16"/>
      </w:rPr>
      <w:br/>
    </w:r>
  </w:p>
  <w:tbl>
    <w:tblPr>
      <w:tblStyle w:val="a1"/>
      <w:tblW w:w="6030" w:type="dxa"/>
      <w:jc w:val="right"/>
      <w:tblLayout w:type="fixed"/>
      <w:tblLook w:val="0600" w:firstRow="0" w:lastRow="0" w:firstColumn="0" w:lastColumn="0" w:noHBand="1" w:noVBand="1"/>
    </w:tblPr>
    <w:tblGrid>
      <w:gridCol w:w="390"/>
      <w:gridCol w:w="705"/>
      <w:gridCol w:w="420"/>
      <w:gridCol w:w="675"/>
      <w:gridCol w:w="405"/>
      <w:gridCol w:w="1440"/>
      <w:gridCol w:w="390"/>
      <w:gridCol w:w="1605"/>
    </w:tblGrid>
    <w:tr w:rsidR="004E051F">
      <w:trPr>
        <w:jc w:val="right"/>
      </w:trPr>
      <w:tc>
        <w:tcPr>
          <w:tcW w:w="390" w:type="dxa"/>
          <w:shd w:val="clear" w:color="auto" w:fill="auto"/>
          <w:tcMar>
            <w:top w:w="0" w:type="dxa"/>
            <w:left w:w="0" w:type="dxa"/>
            <w:bottom w:w="0" w:type="dxa"/>
            <w:right w:w="0" w:type="dxa"/>
          </w:tcMar>
          <w:vAlign w:val="center"/>
        </w:tcPr>
        <w:p w:rsidR="004E051F" w:rsidRDefault="0008376D">
          <w:pPr>
            <w:pBdr>
              <w:top w:val="nil"/>
              <w:left w:val="nil"/>
              <w:bottom w:val="nil"/>
              <w:right w:val="nil"/>
              <w:between w:val="nil"/>
            </w:pBdr>
            <w:jc w:val="right"/>
            <w:rPr>
              <w:sz w:val="16"/>
              <w:szCs w:val="16"/>
            </w:rPr>
          </w:pPr>
          <w:r>
            <w:rPr>
              <w:noProof/>
              <w:sz w:val="16"/>
              <w:szCs w:val="16"/>
            </w:rPr>
            <w:drawing>
              <wp:inline distT="114300" distB="114300" distL="114300" distR="114300">
                <wp:extent cx="238125" cy="219075"/>
                <wp:effectExtent l="0" t="0" r="0" b="0"/>
                <wp:docPr id="5" name="image10.jpg" descr="www.jpg"/>
                <wp:cNvGraphicFramePr/>
                <a:graphic xmlns:a="http://schemas.openxmlformats.org/drawingml/2006/main">
                  <a:graphicData uri="http://schemas.openxmlformats.org/drawingml/2006/picture">
                    <pic:pic xmlns:pic="http://schemas.openxmlformats.org/drawingml/2006/picture">
                      <pic:nvPicPr>
                        <pic:cNvPr id="0" name="image10.jpg" descr="www.jpg"/>
                        <pic:cNvPicPr preferRelativeResize="0"/>
                      </pic:nvPicPr>
                      <pic:blipFill>
                        <a:blip r:embed="rId1"/>
                        <a:srcRect/>
                        <a:stretch>
                          <a:fillRect/>
                        </a:stretch>
                      </pic:blipFill>
                      <pic:spPr>
                        <a:xfrm>
                          <a:off x="0" y="0"/>
                          <a:ext cx="238125" cy="219075"/>
                        </a:xfrm>
                        <a:prstGeom prst="rect">
                          <a:avLst/>
                        </a:prstGeom>
                        <a:ln/>
                      </pic:spPr>
                    </pic:pic>
                  </a:graphicData>
                </a:graphic>
              </wp:inline>
            </w:drawing>
          </w:r>
        </w:p>
      </w:tc>
      <w:tc>
        <w:tcPr>
          <w:tcW w:w="705" w:type="dxa"/>
          <w:shd w:val="clear" w:color="auto" w:fill="auto"/>
          <w:tcMar>
            <w:top w:w="0" w:type="dxa"/>
            <w:left w:w="0" w:type="dxa"/>
            <w:bottom w:w="0" w:type="dxa"/>
            <w:right w:w="0" w:type="dxa"/>
          </w:tcMar>
          <w:vAlign w:val="center"/>
        </w:tcPr>
        <w:p w:rsidR="004E051F" w:rsidRDefault="0008376D">
          <w:pPr>
            <w:pBdr>
              <w:top w:val="nil"/>
              <w:left w:val="nil"/>
              <w:bottom w:val="nil"/>
              <w:right w:val="nil"/>
              <w:between w:val="nil"/>
            </w:pBdr>
            <w:rPr>
              <w:sz w:val="16"/>
              <w:szCs w:val="16"/>
            </w:rPr>
          </w:pPr>
          <w:r>
            <w:rPr>
              <w:sz w:val="16"/>
              <w:szCs w:val="16"/>
            </w:rPr>
            <w:t xml:space="preserve">alt.ac.uk </w:t>
          </w:r>
        </w:p>
      </w:tc>
      <w:tc>
        <w:tcPr>
          <w:tcW w:w="420" w:type="dxa"/>
          <w:shd w:val="clear" w:color="auto" w:fill="auto"/>
          <w:tcMar>
            <w:top w:w="0" w:type="dxa"/>
            <w:left w:w="0" w:type="dxa"/>
            <w:bottom w:w="0" w:type="dxa"/>
            <w:right w:w="0" w:type="dxa"/>
          </w:tcMar>
        </w:tcPr>
        <w:p w:rsidR="004E051F" w:rsidRDefault="0008376D">
          <w:pPr>
            <w:pBdr>
              <w:top w:val="nil"/>
              <w:left w:val="nil"/>
              <w:bottom w:val="nil"/>
              <w:right w:val="nil"/>
              <w:between w:val="nil"/>
            </w:pBdr>
            <w:jc w:val="right"/>
            <w:rPr>
              <w:sz w:val="16"/>
              <w:szCs w:val="16"/>
            </w:rPr>
          </w:pPr>
          <w:r>
            <w:rPr>
              <w:noProof/>
              <w:sz w:val="16"/>
              <w:szCs w:val="16"/>
            </w:rPr>
            <w:drawing>
              <wp:inline distT="114300" distB="114300" distL="114300" distR="114300">
                <wp:extent cx="238125" cy="219075"/>
                <wp:effectExtent l="0" t="0" r="0" b="0"/>
                <wp:docPr id="4" name="image9.jpg" descr="twitter.jpg"/>
                <wp:cNvGraphicFramePr/>
                <a:graphic xmlns:a="http://schemas.openxmlformats.org/drawingml/2006/main">
                  <a:graphicData uri="http://schemas.openxmlformats.org/drawingml/2006/picture">
                    <pic:pic xmlns:pic="http://schemas.openxmlformats.org/drawingml/2006/picture">
                      <pic:nvPicPr>
                        <pic:cNvPr id="0" name="image9.jpg" descr="twitter.jpg"/>
                        <pic:cNvPicPr preferRelativeResize="0"/>
                      </pic:nvPicPr>
                      <pic:blipFill>
                        <a:blip r:embed="rId2"/>
                        <a:srcRect/>
                        <a:stretch>
                          <a:fillRect/>
                        </a:stretch>
                      </pic:blipFill>
                      <pic:spPr>
                        <a:xfrm>
                          <a:off x="0" y="0"/>
                          <a:ext cx="238125" cy="219075"/>
                        </a:xfrm>
                        <a:prstGeom prst="rect">
                          <a:avLst/>
                        </a:prstGeom>
                        <a:ln/>
                      </pic:spPr>
                    </pic:pic>
                  </a:graphicData>
                </a:graphic>
              </wp:inline>
            </w:drawing>
          </w:r>
        </w:p>
      </w:tc>
      <w:tc>
        <w:tcPr>
          <w:tcW w:w="675" w:type="dxa"/>
          <w:shd w:val="clear" w:color="auto" w:fill="auto"/>
          <w:tcMar>
            <w:top w:w="0" w:type="dxa"/>
            <w:left w:w="0" w:type="dxa"/>
            <w:bottom w:w="0" w:type="dxa"/>
            <w:right w:w="0" w:type="dxa"/>
          </w:tcMar>
          <w:vAlign w:val="center"/>
        </w:tcPr>
        <w:p w:rsidR="004E051F" w:rsidRDefault="0008376D">
          <w:pPr>
            <w:pBdr>
              <w:top w:val="nil"/>
              <w:left w:val="nil"/>
              <w:bottom w:val="nil"/>
              <w:right w:val="nil"/>
              <w:between w:val="nil"/>
            </w:pBdr>
            <w:rPr>
              <w:sz w:val="16"/>
              <w:szCs w:val="16"/>
            </w:rPr>
          </w:pPr>
          <w:r>
            <w:rPr>
              <w:sz w:val="16"/>
              <w:szCs w:val="16"/>
            </w:rPr>
            <w:t>@A_L_T</w:t>
          </w:r>
        </w:p>
      </w:tc>
      <w:tc>
        <w:tcPr>
          <w:tcW w:w="405" w:type="dxa"/>
          <w:shd w:val="clear" w:color="auto" w:fill="auto"/>
          <w:tcMar>
            <w:top w:w="0" w:type="dxa"/>
            <w:left w:w="0" w:type="dxa"/>
            <w:bottom w:w="0" w:type="dxa"/>
            <w:right w:w="0" w:type="dxa"/>
          </w:tcMar>
        </w:tcPr>
        <w:p w:rsidR="004E051F" w:rsidRDefault="0008376D">
          <w:pPr>
            <w:pBdr>
              <w:top w:val="nil"/>
              <w:left w:val="nil"/>
              <w:bottom w:val="nil"/>
              <w:right w:val="nil"/>
              <w:between w:val="nil"/>
            </w:pBdr>
            <w:jc w:val="right"/>
            <w:rPr>
              <w:sz w:val="16"/>
              <w:szCs w:val="16"/>
            </w:rPr>
          </w:pPr>
          <w:r>
            <w:rPr>
              <w:noProof/>
              <w:sz w:val="16"/>
              <w:szCs w:val="16"/>
            </w:rPr>
            <w:drawing>
              <wp:inline distT="114300" distB="114300" distL="114300" distR="114300">
                <wp:extent cx="238125" cy="219075"/>
                <wp:effectExtent l="0" t="0" r="0" b="0"/>
                <wp:docPr id="2" name="image5.jpg" descr="email.jpg"/>
                <wp:cNvGraphicFramePr/>
                <a:graphic xmlns:a="http://schemas.openxmlformats.org/drawingml/2006/main">
                  <a:graphicData uri="http://schemas.openxmlformats.org/drawingml/2006/picture">
                    <pic:pic xmlns:pic="http://schemas.openxmlformats.org/drawingml/2006/picture">
                      <pic:nvPicPr>
                        <pic:cNvPr id="0" name="image5.jpg" descr="email.jpg"/>
                        <pic:cNvPicPr preferRelativeResize="0"/>
                      </pic:nvPicPr>
                      <pic:blipFill>
                        <a:blip r:embed="rId3"/>
                        <a:srcRect/>
                        <a:stretch>
                          <a:fillRect/>
                        </a:stretch>
                      </pic:blipFill>
                      <pic:spPr>
                        <a:xfrm>
                          <a:off x="0" y="0"/>
                          <a:ext cx="238125" cy="219075"/>
                        </a:xfrm>
                        <a:prstGeom prst="rect">
                          <a:avLst/>
                        </a:prstGeom>
                        <a:ln/>
                      </pic:spPr>
                    </pic:pic>
                  </a:graphicData>
                </a:graphic>
              </wp:inline>
            </w:drawing>
          </w:r>
        </w:p>
      </w:tc>
      <w:tc>
        <w:tcPr>
          <w:tcW w:w="1440" w:type="dxa"/>
          <w:shd w:val="clear" w:color="auto" w:fill="auto"/>
          <w:tcMar>
            <w:top w:w="0" w:type="dxa"/>
            <w:left w:w="0" w:type="dxa"/>
            <w:bottom w:w="0" w:type="dxa"/>
            <w:right w:w="0" w:type="dxa"/>
          </w:tcMar>
          <w:vAlign w:val="center"/>
        </w:tcPr>
        <w:p w:rsidR="004E051F" w:rsidRDefault="0008376D">
          <w:pPr>
            <w:pBdr>
              <w:top w:val="nil"/>
              <w:left w:val="nil"/>
              <w:bottom w:val="nil"/>
              <w:right w:val="nil"/>
              <w:between w:val="nil"/>
            </w:pBdr>
            <w:rPr>
              <w:sz w:val="16"/>
              <w:szCs w:val="16"/>
            </w:rPr>
          </w:pPr>
          <w:r>
            <w:rPr>
              <w:sz w:val="16"/>
              <w:szCs w:val="16"/>
            </w:rPr>
            <w:t>enquires@alt.ac.uk</w:t>
          </w:r>
        </w:p>
      </w:tc>
      <w:tc>
        <w:tcPr>
          <w:tcW w:w="390" w:type="dxa"/>
          <w:shd w:val="clear" w:color="auto" w:fill="auto"/>
          <w:tcMar>
            <w:top w:w="0" w:type="dxa"/>
            <w:left w:w="0" w:type="dxa"/>
            <w:bottom w:w="0" w:type="dxa"/>
            <w:right w:w="0" w:type="dxa"/>
          </w:tcMar>
        </w:tcPr>
        <w:p w:rsidR="004E051F" w:rsidRDefault="0008376D">
          <w:pPr>
            <w:pBdr>
              <w:top w:val="nil"/>
              <w:left w:val="nil"/>
              <w:bottom w:val="nil"/>
              <w:right w:val="nil"/>
              <w:between w:val="nil"/>
            </w:pBdr>
            <w:jc w:val="right"/>
            <w:rPr>
              <w:sz w:val="16"/>
              <w:szCs w:val="16"/>
            </w:rPr>
          </w:pPr>
          <w:r>
            <w:rPr>
              <w:noProof/>
              <w:sz w:val="16"/>
              <w:szCs w:val="16"/>
            </w:rPr>
            <w:drawing>
              <wp:inline distT="114300" distB="114300" distL="114300" distR="114300">
                <wp:extent cx="238125" cy="219075"/>
                <wp:effectExtent l="0" t="0" r="0" b="0"/>
                <wp:docPr id="1" name="image4.jpg" descr="telephone.jpg"/>
                <wp:cNvGraphicFramePr/>
                <a:graphic xmlns:a="http://schemas.openxmlformats.org/drawingml/2006/main">
                  <a:graphicData uri="http://schemas.openxmlformats.org/drawingml/2006/picture">
                    <pic:pic xmlns:pic="http://schemas.openxmlformats.org/drawingml/2006/picture">
                      <pic:nvPicPr>
                        <pic:cNvPr id="0" name="image4.jpg" descr="telephone.jpg"/>
                        <pic:cNvPicPr preferRelativeResize="0"/>
                      </pic:nvPicPr>
                      <pic:blipFill>
                        <a:blip r:embed="rId4"/>
                        <a:srcRect/>
                        <a:stretch>
                          <a:fillRect/>
                        </a:stretch>
                      </pic:blipFill>
                      <pic:spPr>
                        <a:xfrm>
                          <a:off x="0" y="0"/>
                          <a:ext cx="238125" cy="219075"/>
                        </a:xfrm>
                        <a:prstGeom prst="rect">
                          <a:avLst/>
                        </a:prstGeom>
                        <a:ln/>
                      </pic:spPr>
                    </pic:pic>
                  </a:graphicData>
                </a:graphic>
              </wp:inline>
            </w:drawing>
          </w:r>
        </w:p>
      </w:tc>
      <w:tc>
        <w:tcPr>
          <w:tcW w:w="1605" w:type="dxa"/>
          <w:shd w:val="clear" w:color="auto" w:fill="auto"/>
          <w:tcMar>
            <w:top w:w="0" w:type="dxa"/>
            <w:left w:w="0" w:type="dxa"/>
            <w:bottom w:w="0" w:type="dxa"/>
            <w:right w:w="0" w:type="dxa"/>
          </w:tcMar>
          <w:vAlign w:val="center"/>
        </w:tcPr>
        <w:p w:rsidR="004E051F" w:rsidRDefault="0008376D">
          <w:pPr>
            <w:pBdr>
              <w:top w:val="nil"/>
              <w:left w:val="nil"/>
              <w:bottom w:val="nil"/>
              <w:right w:val="nil"/>
              <w:between w:val="nil"/>
            </w:pBdr>
            <w:rPr>
              <w:sz w:val="16"/>
              <w:szCs w:val="16"/>
            </w:rPr>
          </w:pPr>
          <w:r>
            <w:rPr>
              <w:sz w:val="16"/>
              <w:szCs w:val="16"/>
            </w:rPr>
            <w:t>+44 (0)1865 819 009</w:t>
          </w:r>
        </w:p>
      </w:tc>
    </w:tr>
  </w:tbl>
  <w:p w:rsidR="004E051F" w:rsidRDefault="004E051F">
    <w:pPr>
      <w:pBdr>
        <w:top w:val="nil"/>
        <w:left w:val="nil"/>
        <w:bottom w:val="nil"/>
        <w:right w:val="nil"/>
        <w:between w:val="nil"/>
      </w:pBdr>
      <w:tabs>
        <w:tab w:val="right" w:pos="90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452" w:rsidRDefault="00030452">
      <w:r>
        <w:separator/>
      </w:r>
    </w:p>
  </w:footnote>
  <w:footnote w:type="continuationSeparator" w:id="0">
    <w:p w:rsidR="00030452" w:rsidRDefault="0003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1F" w:rsidRDefault="004E051F">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3795F"/>
    <w:multiLevelType w:val="multilevel"/>
    <w:tmpl w:val="FC5019F2"/>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 w15:restartNumberingAfterBreak="0">
    <w:nsid w:val="39CB5824"/>
    <w:multiLevelType w:val="multilevel"/>
    <w:tmpl w:val="477CE8E2"/>
    <w:lvl w:ilvl="0">
      <w:start w:val="1"/>
      <w:numFmt w:val="lowerRoman"/>
      <w:lvlText w:val="%1."/>
      <w:lvlJc w:val="left"/>
      <w:pPr>
        <w:ind w:left="567" w:hanging="567"/>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1D549B6"/>
    <w:multiLevelType w:val="multilevel"/>
    <w:tmpl w:val="22CC4B8A"/>
    <w:lvl w:ilvl="0">
      <w:start w:val="1"/>
      <w:numFmt w:val="bullet"/>
      <w:lvlText w:val="●"/>
      <w:lvlJc w:val="left"/>
      <w:pPr>
        <w:ind w:left="567" w:hanging="567"/>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A8520DD"/>
    <w:multiLevelType w:val="multilevel"/>
    <w:tmpl w:val="D85E11A8"/>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4" w15:restartNumberingAfterBreak="0">
    <w:nsid w:val="5D457D03"/>
    <w:multiLevelType w:val="multilevel"/>
    <w:tmpl w:val="3E5011AE"/>
    <w:lvl w:ilvl="0">
      <w:start w:val="1"/>
      <w:numFmt w:val="lowerRoman"/>
      <w:lvlText w:val="%1."/>
      <w:lvlJc w:val="left"/>
      <w:pPr>
        <w:ind w:left="567" w:hanging="567"/>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DEC733A"/>
    <w:multiLevelType w:val="multilevel"/>
    <w:tmpl w:val="B640510A"/>
    <w:lvl w:ilvl="0">
      <w:start w:val="1"/>
      <w:numFmt w:val="low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EEF2F5F"/>
    <w:multiLevelType w:val="multilevel"/>
    <w:tmpl w:val="FE3E35A6"/>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25C14D6"/>
    <w:multiLevelType w:val="multilevel"/>
    <w:tmpl w:val="00B22A72"/>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68E6965"/>
    <w:multiLevelType w:val="multilevel"/>
    <w:tmpl w:val="439080AC"/>
    <w:lvl w:ilvl="0">
      <w:start w:val="1"/>
      <w:numFmt w:val="lowerRoman"/>
      <w:lvlText w:val="%1."/>
      <w:lvlJc w:val="left"/>
      <w:pPr>
        <w:ind w:left="567" w:hanging="567"/>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2"/>
  </w:num>
  <w:num w:numId="3">
    <w:abstractNumId w:val="0"/>
  </w:num>
  <w:num w:numId="4">
    <w:abstractNumId w:val="5"/>
  </w:num>
  <w:num w:numId="5">
    <w:abstractNumId w:val="1"/>
  </w:num>
  <w:num w:numId="6">
    <w:abstractNumId w:val="8"/>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1F"/>
    <w:rsid w:val="00030452"/>
    <w:rsid w:val="0008376D"/>
    <w:rsid w:val="001C054B"/>
    <w:rsid w:val="004E051F"/>
    <w:rsid w:val="00E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9F5C8-D0BA-4573-AB75-7CB76BB9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highlight w:val="white"/>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after="280"/>
      <w:outlineLvl w:val="0"/>
    </w:pPr>
    <w:rPr>
      <w:color w:val="07994F"/>
      <w:sz w:val="48"/>
      <w:szCs w:val="48"/>
    </w:rPr>
  </w:style>
  <w:style w:type="paragraph" w:styleId="Heading2">
    <w:name w:val="heading 2"/>
    <w:basedOn w:val="Normal"/>
    <w:next w:val="Normal"/>
    <w:pPr>
      <w:keepNext/>
      <w:keepLines/>
      <w:spacing w:before="260"/>
      <w:outlineLvl w:val="1"/>
    </w:pPr>
    <w:rPr>
      <w:color w:val="07994F"/>
      <w:sz w:val="36"/>
      <w:szCs w:val="36"/>
    </w:rPr>
  </w:style>
  <w:style w:type="paragraph" w:styleId="Heading3">
    <w:name w:val="heading 3"/>
    <w:basedOn w:val="Normal"/>
    <w:next w:val="Normal"/>
    <w:pPr>
      <w:keepNext/>
      <w:keepLines/>
      <w:spacing w:before="180"/>
      <w:outlineLvl w:val="2"/>
    </w:pPr>
    <w:rPr>
      <w:sz w:val="28"/>
      <w:szCs w:val="28"/>
    </w:rPr>
  </w:style>
  <w:style w:type="paragraph" w:styleId="Heading4">
    <w:name w:val="heading 4"/>
    <w:basedOn w:val="Normal"/>
    <w:next w:val="Normal"/>
    <w:pPr>
      <w:keepNext/>
      <w:keepLines/>
      <w:spacing w:before="280"/>
      <w:outlineLvl w:val="3"/>
    </w:pPr>
    <w:rPr>
      <w:sz w:val="22"/>
      <w:szCs w:val="22"/>
    </w:rPr>
  </w:style>
  <w:style w:type="paragraph" w:styleId="Heading5">
    <w:name w:val="heading 5"/>
    <w:basedOn w:val="Normal"/>
    <w:next w:val="Normal"/>
    <w:pPr>
      <w:keepNext/>
      <w:keepLines/>
      <w:spacing w:before="280"/>
      <w:outlineLvl w:val="4"/>
    </w:pPr>
    <w:rPr>
      <w:i/>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dc:creator>
  <cp:lastModifiedBy>Maren</cp:lastModifiedBy>
  <cp:revision>2</cp:revision>
  <dcterms:created xsi:type="dcterms:W3CDTF">2018-09-24T09:32:00Z</dcterms:created>
  <dcterms:modified xsi:type="dcterms:W3CDTF">2018-09-24T09:32:00Z</dcterms:modified>
</cp:coreProperties>
</file>